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V/5 vom 24. Oktober 2018</w:t>
      </w:r>
    </w:p>
    <w:p>
      <w:r>
        <w:t>Bundesverwaltungsgericht, 2018-10-24, DE</w:t>
      </w:r>
    </w:p>
    <w:p>
      <w:r>
        <w:rPr>
          <w:b/>
        </w:rPr>
        <w:t xml:space="preserve">Quelle: </w:t>
      </w:r>
      <w:r>
        <w:t>https://mcp.opencaselaw.ch/entscheid/bvger_BVGE 2018 V_5</w:t>
      </w:r>
    </w:p>
    <w:p>
      <w:r>
        <w:t>FR: TAF BVGE 2018 V/5 du 24 octobre 2018</w:t>
      </w:r>
    </w:p>
    <w:p>
      <w:r>
        <w:t>IT: TAF BVGE 2018 V/5 del 24 ottobre 2018</w:t>
      </w:r>
    </w:p>
    <w:p>
      <w:pPr>
        <w:pStyle w:val="Heading2"/>
      </w:pPr>
      <w:r>
        <w:t>Regeste</w:t>
      </w:r>
    </w:p>
    <w:p>
      <w:r>
        <w:t>Krankheits- und Unfallbekämpfung</w:t>
      </w:r>
    </w:p>
    <w:p>
      <w:pPr>
        <w:pStyle w:val="Heading2"/>
      </w:pPr>
      <w:r>
        <w:t>Erwägungen</w:t>
      </w:r>
    </w:p>
    <w:p>
      <w:r>
        <w:rPr>
          <w:b/>
        </w:rPr>
        <w:t>E. 1</w:t>
      </w:r>
    </w:p>
    <w:p>
      <w:r>
        <w:t>Inverkehrbringen von Maschinen nach dem PrSG und den grundlegenden Anforderungen (MaschV i.V.m. der Richtlinie 2006/42/EG). Eignung der technischen Norm SN EN 280, die Sicherheits- und Gesundheitsschutzanforderungen im Sinne von Art. 3 MaschV zu konkretisieren. Konformitätsbewertung (E. 3.1—3.10).</w:t>
      </w:r>
    </w:p>
    <w:p>
      <w:r>
        <w:rPr>
          <w:b/>
        </w:rPr>
        <w:t>E. 2</w:t>
      </w:r>
    </w:p>
    <w:p>
      <w:r>
        <w:t>Prüfprogramm. Befugnisse der Kontrollorgane (E. 3.11—3.17).</w:t>
      </w:r>
    </w:p>
    <w:p>
      <w:r>
        <w:rPr>
          <w:b/>
        </w:rPr>
        <w:t>E. 3</w:t>
      </w:r>
    </w:p>
    <w:p>
      <w:r>
        <w:t>Anforderungen an die technische Dokumentation. Wegfall der Konformitätsvermutung und der Beweislastumkehr (E. 4.1—4.8).</w:t>
      </w:r>
    </w:p>
    <w:p>
      <w:r>
        <w:rPr>
          <w:b/>
        </w:rPr>
        <w:t>E. 3.1</w:t>
      </w:r>
    </w:p>
    <w:p>
      <w:r>
        <w:t>Mit dem PrSG soll die Sicherheit von Produkten gewährleistet und der grenzüberschreitende freie Warenverkehr erleichtert werden (Art. 1 Abs. 1 PrSG).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 4 PrSG oder, wenn keine solchen Anforderungen festgelegt worden sind, dem Stand des Wissens und der Technik entsprechen (Art. 3 Abs. 2 PrSG).</w:t>
      </w:r>
    </w:p>
    <w:p>
      <w:r>
        <w:rPr>
          <w:b/>
        </w:rPr>
        <w:t>E. 3.2</w:t>
      </w:r>
    </w:p>
    <w:p>
      <w:r>
        <w:t>Der Bundesrat legt die grundlegenden Sicherheits- und Gesundheitsanforderungen fest; er berücksichtigt dabei das entsprechende internationale Recht (Art. 4 PrSG). Wer ein Produkt in Verkehr bringt, muss nachweisen können, dass es die grundlegenden Sicherheits- und Gesundheitsanforderungen erfüllt (Art. 5 Abs. 1 PrSG). Wird ein Produkt nach den technischen Normen gemäss Art. 6 PrSG hergestellt, so wird vermutet, dass es die grundlegenden Sicherheits- und Gesundheitsanforderungen erfüllt (Art. 5 Abs. 2 PrSG). Das zuständige Bundesamt bezeichnet im Einvernehmen mit dem Staatssekretariat für Wirtschaft (SECO) die technischen Normen, die geeignet sind, die grundlegenden Sicherheits- und Gesundheitsanforderungen nach Art. 4 PrSG zu konkretisieren (Art. 6 Abs. 1 PrSG). Soweit möglich bezeichnet es die international harmonisierten Normen (Art. 6 Abs. 2 PrSG). Wer ein Produkt in Verkehr bringt, das den technischen Normen nach Art. 6 PrSG nicht entspricht, muss nachweisen können, dass das Produkt die grundlegenden Sicherheits- und Gesundheitsanforderungen auf andere Weise erfüllt (Art. 5 Abs. 3 PrSG).</w:t>
      </w:r>
    </w:p>
    <w:p>
      <w:r>
        <w:rPr>
          <w:b/>
        </w:rPr>
        <w:t>E. 3.3</w:t>
      </w:r>
    </w:p>
    <w:p>
      <w:r>
        <w:t>Gemäss Art. 1 Abs. 1 der Maschinenverordnung vom 2. April 2008 (MaschV, SR 819.14) regelt diese Verordnung das Inverkehrbringen und die Marktüberwachung betreffend Maschinen nach der Richtlinie 2006/42/EG des Europäischen Parlaments und des Rates vom 17. Mai 2006 über Maschinen und zur Änderung der Richtlinie 95/16/EG (Neufassung), ABl. L 157/24 vom 9.6.2006 (nachfolgend: MRL). Gemäss Art. 2 Abs. 1 MaschV dürfen Maschinen nur in Verkehr gebracht werden, wenn sie bei ordnungsgemässer Installation und Wartung und bei bestimmungsgemässer oder vernünftigerweise vorhersehbarer Verwendung die Sicherheit und die Gesundheit von Personen und gegebenenfalls von Haustieren und Sachen sowie, sofern für diese Maschinen in der MRL spezifische Umweltvorschriften bestehen, die Umwelt nicht gefährden (Bst. a) und die Anforderungen nach den folgenden Bestimmungen der MRL erfüllt sind: Art. 5 Abs. 1 Bst. a—e sowie Abs. 2 und 3 und Art. 12 und Art. 13 (Bst. b). Das SECO bezeichnet die technischen Normen, die geeignet sind, die grundlegenden Sicherheits- und Gesundheitsschutzanforderungen nach Anhang I MRL zu konkretisieren (Art. 3 MaschV).</w:t>
      </w:r>
    </w:p>
    <w:p>
      <w:r>
        <w:rPr>
          <w:b/>
        </w:rPr>
        <w:t>E. 3.4</w:t>
      </w:r>
    </w:p>
    <w:p>
      <w:r>
        <w:t>Gemäss Art. 5 Abs. 1 Bst. a MRL muss der Hersteller oder sein Bevollmächtigter vor dem Inverkehrbringen und/oder der Inbetriebnahme einer Maschine sicherstellen, dass sie die in Anhang I aufgeführten, für sie geltenden, grundlegenden Sicherheits- und Gesundheitsschutzanforderungen erfüllt. Die zutreffenden Konformitätsbewertungsverfahren sind gemäss Art. 12 MRL durchzuführen (Art. 5 Abs. 1 Bst. d MRL). Gemäss Art. 12 Abs. 2 MRL führt der Hersteller oder sein Bevollmächtigter das in Anhang VIII vorgesehene Verfahren der Konformitätsbewertung mit interner Fertigungskontrolle bei der Herstellung der Maschinen durch. Gemäss Anhang VIII Ziff. 3 MRL muss der Hersteller alle erforderlichen Massnahmen ergreifen, damit durch den Herstellungsprozess gewährleistet ist, dass die hergestellten Maschinen (...) den Anforderungen dieser Richtlinie entsprechen.</w:t>
      </w:r>
    </w:p>
    <w:p>
      <w:r>
        <w:rPr>
          <w:b/>
        </w:rPr>
        <w:t>E. 3.5</w:t>
      </w:r>
    </w:p>
    <w:p>
      <w:r>
        <w:t>Bei Hebebühnen handelt es sich um Maschinen, welche in Anhang IV der MRL aufgeführt sind, womit der Hersteller oder sein Bevollmächtigter eines der vorgesehenen Verfahren durchzuführen hat: a) das in Anhang VIII vorgesehene Verfahren der Konformitätsbewertung mit interner Fertigungskontrolle bei der Herstellung der Maschine, b) das in Anhang IX beschriebene EG-Baumusterprüfverfahren sowie die in Anhang VIII Ziff. 3 beschriebene interne Fertigungskontrolle bei der Herstellung der Maschine oder c) das in Anhang X beschriebene Verfahren der umfassenden Qualitätssicherung (Art. 12 Abs. 3 Bst. c MRL). Der Hersteller oder sein Bevollmächtigter hat bei interner Fertigungskontrolle für jedes repräsentative Baumuster der betreffenden Baureihe die in Anhang VII Teil A genannten technischen Unterlagen zu erstellen (Anhang VIII Ziff. 2 MRL) und alle erforderlichen Massnahmen zu ergreifen, damit durch den Herstellungsprozess gewährleistet ist, dass die hergestellte Maschine mit den in Anhang VII Teil A genannten technischen Unterlagen übereinstimmt und den Anforderungen der Richtlinie entspricht (Anhang VIII Ziff. 3; Anhang IX Ziff. 1 MRL). Werden die technischen Unterlagen den zuständigen einzelstaatlichen Behörden auf begründetes Verlangen nicht vorgelegt, so kann dies ein hinreichender Grund sein, um die Übereinstimmung der betreffenden Maschine mit den grundlegenden Sicherheits- und Gesundheitsschutzanforderungen anzuzweifeln (Anhang VII Ziff. 3 MRL). In begründeten Fällen können die Kommission und die Mitgliedstaaten auf Verlangen eine Kopie der technischen Unterlagen und der Ergebnisse der von der benannten Stelle vorgenommenen Prüfungen erhalten (Anhang IX Ziff. 7 MRL). Als technische Dokumentation gemäss Anhang VII Teil A Ziff. 1 Bst. a gilt: -eine allgemeine Beschreibung der Maschine; -eine Übersichtszeichnung (...); -vollständige Detailzeichnungen, eventuell mit Berechnungen, Versuchsergebnissen, Bescheinigungen usw., die für die Überprüfung der Übereinstimmung der Maschine mit den grundlegenden Sicherheits- und Gesundheitsschutzanforderungen erforderlich sind; -die Unterlagen über die Risikobeurteilung, aus denen hervorgeht, welches Verfahren angewandt wurde; dies schliesst ein: i)eine Liste der grundlegenden Sicherheits- und Gesundheitsschutzanforderungen, die für die Maschine gelten; ii)eine Beschreibung der zur Abwendung ermittelter Gefährdungen oder zur Risikominderung ergriffenen Schutzmassnahmen und gegebenenfalls eine Angabe der von der Maschine ausgehenden Restrisiken; -die angewandten Normen und sonstigen technischen Spezifikationen (...); -alle technischen Berichte mit den Ergebnissen der Prüfungen, die vom Hersteller selbst oder von einer Stelle nach Wahl des Herstellers oder seines Bevollmächtigten durchgeführt wurden; -ein Exemplar der Betriebsanleitung der Maschine; -gegebenenfalls die Einbauerklärung für in die Maschine eingebaute andere Maschinen oder Produkte; -gegebenenfalls eine Kopie der EG-Konformitätserklärung für in die Maschine eingebaute andere Maschinen oder Produkte; -eine Kopie der EG-Konformitätserklärung.</w:t>
      </w:r>
    </w:p>
    <w:p>
      <w:r>
        <w:rPr>
          <w:b/>
        </w:rPr>
        <w:t>E. 3.6</w:t>
      </w:r>
    </w:p>
    <w:p>
      <w:r>
        <w:t>Im Bereich der Maschinensicherheit wurde eine strukturelle Gliederung der Normen entwickelt. Typ-A-Normen (Sicherheitsgrundnormen) behandeln grundlegende Sicherheitsfragen sowie auf sämtliche Maschinen anwendbare Grundsätze, die nur einmal festgelegt werden müssen. Dazu gehören Normen über Grundbegriffe, Gebrauchsanleitungen und Terminologie. Typ-B-Normen (Sicherheitsfachgrundnormen) sind Normen mit sicherheitstechnischen Aussagen, die nicht nur eine einzelne Maschine betreffen, sondern in ähnlicher Weise für eine Gruppe von verschiedenen Maschinen oder Anwendungen gelten. Typ-C-Normen (Maschinensicherheitsnormen) behandeln spezifische Sicherheitsanforderungen für einzelne Maschinen beziehungsweise Maschinengruppen. Ausschliesslich Typ-C-Normen können eine Konformitätsvermutung im Sinne von Art. 5 Abs. 2 PrSG auslösen (vgl. Urteile des BVGer C—914/2013 vom 6. Oktober 2016 E. 2.13; C—4660/2013 vom 28. Mai 2015 E. 4.2.8).</w:t>
      </w:r>
    </w:p>
    <w:p>
      <w:r>
        <w:rPr>
          <w:b/>
        </w:rPr>
        <w:t>E. 3.7</w:t>
      </w:r>
    </w:p>
    <w:p>
      <w:r>
        <w:t>Gemäss Leitfaden für die Anwendung der Maschinenrichtlinie 2006/42/EG vom Juni 2010, S. 68 (nachfolgend: Leitfaden MRL) stellen harmonisierte Normen wichtige Werkzeuge zur Anwendung der MRL dar. Ihre Anwendung ist nicht verpflichtend. Wenn jedoch die Fundstellen harmonisierter Normen im Amtsblatt der Europäischen Union veröffentlicht wurden, ergibt sich durch die Anwendung ihrer Spezifikationen eine Konformitätsvermutung mit den von ihnen abgedeckten grundlegenden Sicherheits- und Gesundheitsschutzanforderungen. Dem Leitfaden MRL ist auf S. 98 zu entnehmen, wenn auf eine Norm oder einen Teil der Norm durch einen normativen Verweis in einer europäischen Norm verwiesen wird, werden die Spezifikationen der Norm oder des Normenteils, auf die/den verwiesen wird, zu einem Teil der harmonisierten Norm, und deren Anwendung begründet die Konformitätsvermutung mit den grundlegenden Sicherheits- und Gesundheitsanforderungen, die hiermit abgedeckt werden. Daran ändert nichts, dass die Norm ihrerseits auf nicht harmonisierte Normen verweist.</w:t>
      </w:r>
    </w:p>
    <w:p>
      <w:r>
        <w:rPr>
          <w:b/>
        </w:rPr>
        <w:t>E. 3.8</w:t>
      </w:r>
    </w:p>
    <w:p>
      <w:r>
        <w:t>Die Norm SN EN 280 " Fahrbare Hubarbeitsbühnen — Berechnung — Standsicherheit — Bau — Sicherheit — Prüfungen " (Publikation vom 27. Dezember 2013, BBl 2013 9756) ist eine technische Norm, die geeignet ist, die grundlegenden Sicherheits- und Gesundheitsanforderungen für Maschinen im Sinne von Art. 3 MaschV zu konkretisieren, sie entspricht der Europäischen Norm EN 280:2013. Die Norm SN EN 280 ersetzt die Norm SN EN 280+A2:2010 (Publikation vom 19. Januar 2010, BBl 2010 206, 207; die Norm ist Ersatz für SN EN 280/A1:2004 und die erstmalig in der Schweiz übernommene Norm SN EN 280:2001). Mit der Norm SN EN 280+A2:2010 wurde die Europäische Norm EN 280:2001+A2:2009 übernommen. Beide Europäischen Normen (EN 280:2013 und EN 280:2001+A2:2009) besassen gemäss Amtsblatt der Europäischen Union für die Übergangsfrist bis zum 31. Januar 2015 gleichzeitig Geltung (vgl. ABl. C 348/14 vom 28. November 2013, Anmerkung 2.1, wonach ab dem 31. Januar 2015 die Konformitätsvermutung für das erstmalige Inverkehrbringen für Maschinen, die der Norm EN 280:2001+A2:2009 entsprechen, nicht mehr gilt). Die Norm SN EN 280 und die Norm SN EN 280+A2:2010 enthalten zu den Festigkeitsberechnungen die folgenden übereinstimmenden Angaben: 5.2.5 Festigkeitsberechnungen 5.2.5.1 Allgemeines Die Berechnungen haben den Gesetzen und Grundlagen allgemeiner Mechanik und den Werkstofffestigkeiten zu entsprechen. Beim Gebrauch spezieller Gleichungen muss deren Quelle angegeben werden, falls allgemein zugänglich. Andernfalls müssen die Gleichungen von Anfang an entwickelt werden, damit ihre Gültigkeit geprüft werden kann. Sofern nichts anderes angegeben wird, sind die einzelnen Lasten und Kräfte in den Lagen, Richtungen und Kombinationen anzunehmen, die die ungünstigsten Belastungen ergeben. Für alle lasttragenden Teile und Verbindungen müssen die erforderlichen Angaben über Beanspruchungen oder Sicherheitsfaktoren in den Berechnungen in klarer und nachprüfbarer Form vorhanden sein. Falls zur Prüfung der Berechnungen notwendig, müssen Einzelheiten über die Hauptabmessungen, Querschnitte und Werkstoffe der einzelnen Teile und Verbindungen angegeben sein. 5.2.5.2 Berechnungsverfahren Bis eine geeignete Europäische oder Internationale Norm zur Verfügung steht, muss die Berechnungsmethode mit einer der anerkannten nationalen Berechnungsnormen — wie zum Beispiel solche aus den EWR-Ländern für Hebezeuge — übereinstimmen, die Verfahren zur Betriebsfestigkeitsberechnung beinhaltet. Die in 5.2.2 und 5.2.4 beschriebenen Anforderungen über die Bestimmung von Lasten und Kräften sind in den Berechnungen zu berücksichtigen. Die Anwendung einer nationalen Norm darf diese Anforderungen nicht beeinflussen. Elastische Verformungen von schlanken Bauteilen müssen in Betracht gezogen werden. Die in 5.2.5.3 definierten Nachweise müssen für die ungünstigsten Lastkombinationen erstellt werden und die Einflüsse der Überlastprüfung (siehe 6.1.4.3) und der Funktionsprüfung (siehe 6.1.4.5) beinhalten. Die berechneten Spannungen dürfen die zulässigen Werte nicht überschreiten. Die berechneten Sicherheitsfaktoren dürfen nicht kleiner als die geforderten Werte sein. Die zulässigen Werte für Spannungen und die erforderlichen Sicherheitsfaktoren hängen vom Werkstoff, Lastkombinationen und Berechnungsverfahren ab. Die Norm SN EN 280 enthält zusätzlich unter 5.2.5.2 zur Berechnungsgrundlage einen Verweis auf die Europäische Norm EN 13001-3-1 " Krane — Konstruktion allgemein — Teil 3-1: Grenzzustände und Sicherheitsnachweis von Stahltragwerken ": EN 13001-3-1:2012 kann als Berechnungsgrundlage herangezogen werden. ANMERKUNG: In EN 13001-3-1 wird das Grenzzustandsverfahren angewandt, bei dem einwirkende Lasten mit Teilsicherheitsbeiwerten multipliziert werden müssen.</w:t>
      </w:r>
    </w:p>
    <w:p>
      <w:r>
        <w:rPr>
          <w:b/>
        </w:rPr>
        <w:t>E. 3.9</w:t>
      </w:r>
    </w:p>
    <w:p>
      <w:r>
        <w:t>Die Europäische Norm EN 13001-3-1:2012+A1:2013 (Juli 2013) " Krane — Konstruktion allgemein — Teil 3-1: Grenzzustände und Sicherheitsnachweis von Stahltragwerken " beschäftigt sich mit dem rechnerischen Nachweis der Festigkeit. Zum einen geht es um den Nachweis der statischen Festigkeit zur Gewährleistung der Sicherheit vor übermässigen Verformungen infolge des Fliessverhaltens eines Werkstoffs oder durch Verrutschen der Verbindungen mit Reibschluss sowie vor elastischer Instabilität und Bruch der Bauteile und Verbindungen. Mit den in der Norm genannten dynamischen Beiwerten werden zum anderen äquivalente statische Lasten erzeugt und damit dynamische Lasteinwirkungen simuliert. Im Weiteren wird in der Norm der Nachweis der Ermüdungsfestigkeit beschrieben, der zur Vermeidung des Risikos von Brüchen durch Bildung und Ausbreitung kritischer Risse an Bauteilen oder Verbindungen unter zyklischer Belastung dient. Schliesslich enthält die Norm Angaben zum Nachweis der elastischen Stabilität. Die entsprechenden Nachweise sind wie folgt zu dokumentieren (Ziff. 4 Allgemeines, 4.1 Dokumentation): Die Dokumentation zum Sicherheitsnachweis muss umfassen: -Bemessungsannahmen mit Berechnungsmodellen; -anwendbare Lasten und Lastkombinationen; -Werkstoffsorten und Werkstoffgüte; -Schweissnahtgüte nach EN ISO 5817; -Werkstoffe der Verbindungselemente; -relevante Grenzzustände; -Ergebnisse aus der Berechnung des Sicherheitsnachweises und Prüfungen, sofern anwendbar.</w:t>
      </w:r>
    </w:p>
    <w:p>
      <w:r>
        <w:rPr>
          <w:b/>
        </w:rPr>
        <w:t>E. 3.10</w:t>
      </w:r>
    </w:p>
    <w:p>
      <w:r>
        <w:t>Zu den in Anhang I MRL aufgeführten Anforderungen gehört auch die Pflicht, eine Risikobeurteilung vorzunehmen und die Maschine dann unter Berücksichtigung der Ergebnisse der Risikobeurteilung zu konstruieren und zu bauen (Allgemeine Grundsätze Ziff. 1 Anhang I MRL). Ziff. 1.1.2 Anhang I MRL enthält Grundsätze für die Integration der Sicherheit. Gemäss Bst. b muss der Hersteller oder sein Bevollmächtigter bei der Wahl der angemessenen Lösung folgende Grundsätze anwenden, und zwar in der angegebenen Reihenfolge: Beseitigung oder Minimierung der Risiken so weit wie möglich (Integration der Sicherheit in Konstruktion und Bau der Maschine [erstes Lemma]); Ergreifen der notwendigen Schutzmassnahmen gegen Risiken, die sich nicht beseitigen lassen (zweites Lemma); Unterrichtung der Benutzer über die Restrisiken aufgrund der nicht vollständigen Wirksamkeit der getroffenen Schutzmassnahmen; Hinweis auf eine eventuell erforderliche spezielle Ausbildung oder Einarbeitung und persönliche Schutzausrüstung (drittes Lemma).</w:t>
      </w:r>
    </w:p>
    <w:p>
      <w:r>
        <w:rPr>
          <w:b/>
        </w:rPr>
        <w:t>E. 3.11</w:t>
      </w:r>
    </w:p>
    <w:p>
      <w:r>
        <w:t>Gemäss bundesgerichtlicher Rechtsprechung legen diese Grundsätze zwar nicht fest, wie hoch das erforderliche Sicherheitsniveau ist. Ist jedoch eine Maschine nach einer harmonisierten Norm hergestellt worden, deren Fundstellen im Amtsblatt der Europäischen Union veröffentlicht worden sind, so wird davon ausgegangen, dass sie den von dieser harmonisierten Norm erfassten grundlegenden Sicherheits- und Gesundheitsanforderungen entspricht (vgl. BGE 143 II 518 E. 5.6.3 m.w.H.; Art. 7 Abs. 2 MRL). Es erfolgt damit eine Umkehr der Beweislast, das heisst, die intervenierende Marktaufsichtsbehörde trägt die Beweislast dafür, dass das Produkt nicht den Anforderungen entspricht. Nach dem gesetzlichen Konzept (Art. 5 Abs. 2 i.V.m. Art. 6 Abs. 1 PrSG) legen die technischen Normen (implizit) fest, welche Sicherheit vermutungsweise als " ausreichend " zu qualifizieren ist. Die Normen sind allerdings nicht rechtsverbindlich; der Inverkehrbringer kann die Produkte anders herstellen; er muss dann aber selber nachweisen, dass das Produkt den Anforderungen entspricht (Art. 5 Abs. 3 PrSG; vgl. BGE 143 II 518 E. 5.7 m.w.H.).</w:t>
      </w:r>
    </w:p>
    <w:p>
      <w:r>
        <w:rPr>
          <w:b/>
        </w:rPr>
        <w:t>E. 3.12</w:t>
      </w:r>
    </w:p>
    <w:p>
      <w:r>
        <w:t>Demzufolge ist nach einem mehrstufigen Prüfprogramm vorzugehen (BGE 143 II 518 E. 5.8): In einem ersten Schritt ist zu prüfen, ob das streitbetroffene Produkt die in einer bezeichneten Norm enthaltenen Anforderungen einhält. In einem zweiten Schritt ist zu prüfen, ob die Risiken, welche die SUVA mit ihrer Verfügung avisiert, von der Norm erfasst sind; ist dies zu verneinen, muss die Beschwerdeführerin die Einhaltung der Sicherheitsanforderungen nachweisen; ist es zu bejahen, greift die Konformitätsvermutung gemäss Art. 5 Abs. 2 PrSG. In diesem Fall ist in einem dritten Schritt zu prüfen, ob diese Vermutung widerlegt ist. Ist das streitbetroffene Produkt in der Europäischen Union (EU) nach EU-Vorschriften hergestellt worden, ist in einem vierten Schritt zu fragen, welchen Einfluss das Abkommen vom 21. Juni 1999 zwischen der Schweizerischen Eidgenossenschaft und der Europäischen Gemeinschaft über die gegenseitige Anerkennung von Konformitätsbewertungen (Englisch: Mutual Recognition Agreement, SR 0.946.526.81, nachfolgend: MRA) auf den nationalen Entscheid hat, wenn die Vermutung widerlegt ist. Schliesslich ist in einem fünften Schritt zu entscheiden, welcher Grad von Konkretheit positiver behördlicher Anordnungen zulässig ist.</w:t>
      </w:r>
    </w:p>
    <w:p>
      <w:r>
        <w:rPr>
          <w:b/>
        </w:rPr>
        <w:t>E. 3.13</w:t>
      </w:r>
    </w:p>
    <w:p>
      <w:r>
        <w:t>Nach Art. 10 Abs. 1 PrSG können die Vollzugsorgane Produkte, die in Verkehr gebracht werden, kontrollieren und nötigenfalls Muster erheben. Die Kontrolle über die Einhaltung der Vorschriften über das Inverkehrbringen obliegt der SUVA (Art. 20 Abs. 1 Bst. a der Verordnung vom 19. Mai 2010 über die Produktesicherheit [PrSV, SR 930.111]).</w:t>
      </w:r>
    </w:p>
    <w:p>
      <w:r>
        <w:rPr>
          <w:b/>
        </w:rPr>
        <w:t>E. 3.14</w:t>
      </w:r>
    </w:p>
    <w:p>
      <w:r>
        <w:t>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zum Schutz der Sicherheit oder Gesundheit der Verwenderinnen oder Verwender oder Dritter insbesondere das weitere Inverkehrbringen eines Produkts verbieten (Bst. a), die Warnung vor den Gefahren eines Produkts, seine Rücknahme oder seinen Rückruf anordnen und nötigenfalls selbst vollziehen (Bst. b) sowie ein Produkt, von dem eine unmittelbare und ernste Gefahr ausgeht, einziehen und vernichten oder unbrauchbar machen (Bst. d). Massnahmen nach Abs. 3 werden, sofern dies zum Schutz der Bevölkerung erforderlich ist, als Allgemeinverfügung erlassen (Art. 10 Abs. 5 PrSG).</w:t>
      </w:r>
    </w:p>
    <w:p>
      <w:r>
        <w:rPr>
          <w:b/>
        </w:rPr>
        <w:t>E. 3.15</w:t>
      </w:r>
    </w:p>
    <w:p>
      <w:r>
        <w:t>Die Aufgaben und Befugnisse der Kontrollorgane sind in Art. 22 PrSV näher geregelt. Gemäss Abs. 1 führen die Kontrollorgane stichprobenweise Kontrollen über die Einhaltung der Sicherheitsvorschriften für Produkte durch. Sie verfolgen begründete Hinweise, wonach Produkte den Vorschriften nicht entsprechen. Eine solche Kontrolle umfasst die formelle Überprüfung, ob die Konformitätserklärung (sofern erforderlich) vorliegt und den gesetzlichen Vorschriften entspricht und die technischen Unterlagen vollständig sind, und — sofern erforderlich — eine Sicht- und Funktionskontrolle sowie eine Nachkontrolle des beanstandeten Produkts (Abs. 2). Im Rahmen der Kontrolle sind die Kontrollorgane insbesondere befugt, die für den Nachweis der Konformität des Produkts erforderlichen Unterlagen und Informationen zu verlangen, Muster zu erheben und Prüfungen anzuordnen sowie während der üblichen Arbeitszeit die Geschäftsräume zu betreten (Abs. 3). Bestehen Zweifel, ob das Produkt (Bst. a) mit den eingereichten Unterlagen übereinstimmt oder (Bst. b) trotz eingereichter korrekter Unterlagen den geltenden Vorschriften entspricht, können die Kontrollorgane eine technische Überprüfung des Produkts anordnen (Abs. 4). Bringt der Inverkehrbringer die verlangten Unterlagen nach Abs. 3 innerhalb der von den Kontrollorganen festgesetzten Frist nicht oder nicht vollständig bei oder entspricht das Produkt nicht den Vorschriften des PrSG oder der PrSV, so ordnen sie die erforderlichen Massnahmen nach Art. 10 Abs. 3 und 4 PrSG an (Abs. 5). Vor der Anordnung der Massnahme geben sie dem Inverkehrbringer Gelegenheit zur Stellungnahme (Abs. 6). Für das Verfahren der Kontrollorgane ist das VwVG anwendbar (Art. 23 PrSV).</w:t>
      </w:r>
    </w:p>
    <w:p>
      <w:r>
        <w:rPr>
          <w:b/>
        </w:rPr>
        <w:t>E. 3.16</w:t>
      </w:r>
    </w:p>
    <w:p>
      <w:r>
        <w:t>Sowohl das PrSG als auch das Bundesgesetz vom 6. Oktober 1995 über die technischen Handelshemmnisse (THG, SR 946.51), insbesondere in seiner revidierten Form, bezwecken eine Harmonisierung der schweizerischen Produktevorschriften mit denjenigen der EU. Dabei hat das THG vor allem die Beseitigung von Handelshemmnissen, das PrSG dagegen vor allem die Sicherheit von Produkten im Blick (vgl. BGE 143 II 518 E. 5.6 m.w.H.). Der Rechtssetzer legt nur die grundlegenden Anforderungen (hier die MaschV i.V.m. der MRL) fest; deren Einhaltung liegt in der Eigenverantwortung des Herstellers oder Importeurs, was mit verschiedenen Konformitätsbewertungsverfahren sicherzustellen ist. Der Nachweis der Konformität richtet sich nach Art. 17 und Art. 18 THG. Werden Produkte nach harmonisierten Normen hergestellt, wird vermutet, dass die davon erfassten grundlegenden Anforderungen und damit auch der anzuwendende Sicherheitsmassstab für das Inverkehrbringen eingehalten sind (Konformitätsvermutung). Die Konformitätsvermutung kann widerlegt werden (vgl. BGE 143 II 518 E. 5.1—5.3, 5.5—5.7). Der Anwendungsbereich von Art. 16a Abs. 1 THG beschränkt sich auf die zwischen der Schweiz und dem EU/EWR-Binnenmarkt nicht harmonisierten Bereiche.</w:t>
      </w:r>
    </w:p>
    <w:p>
      <w:r>
        <w:rPr>
          <w:b/>
        </w:rPr>
        <w:t>E. 3.17</w:t>
      </w:r>
    </w:p>
    <w:p>
      <w:r>
        <w:t>Bis vor der Änderung des THG im Jahr 2010 hat der Bundesrat den Abbau von technischen Handelshemmnissen auf zwei Wegen verfolgt: einerseits mittels einer autonomen Harmonisierung, wonach der schweizerische Gesetzgeber seine Produktegesetzgebung an die in der Europäischen Gemeinschaft (EG) beziehungsweise heute EU geltende anpasst und dadurch Inkompatibilitäten vermeidet, andererseits durch Abkommen mit der EU wie unter anderem dem MRA (vgl. BGE 143 II 518 E. 5.4.2). Das Inverkehrbringen des hier strittigen Produkts richtet sich nach dem PrSG und der MaschV in Verbindung mit der MRL. Gemäss Bundesgericht können die schweizerischen Behörden im Rahmen der Marktüberwachung überprüfen, ob die für das Inverkehrbringen eines in der EU im Verkehr befindlichen Produkts erforderliche Konformitätserklärung zu Recht erfolgt ist. Nicht Gegenstand des MRA bilde die Frage, ob die technischen Normen auch tatsächlich die grundlegenden Sicherheits- und Gesundheitsanforderungen erfüllten. Zur Beantwortung dieser Frage sei allein das PrSG anwendbar. Mit dem MRA solle zwar der Handel erleichtert werden, allerdings nur unter gleichzeitiger Wahrung unter anderem des Gesundheitsschutzes und der Sicherheit (Präambel MRA). Diese Auffassung lasse sich auch Art. 12 Abs. 4 MRA entnehmen, wonach jede Vertragspartei die andere Vertragspartei unverzüglich über die in ihrem Gebiet getroffenen Schutzmassnahmen unterrichte (vgl. BGE 143 II 518 E. 9.4). 4.</w:t>
      </w:r>
    </w:p>
    <w:p>
      <w:r>
        <w:rPr>
          <w:b/>
        </w:rPr>
        <w:t>E. 4</w:t>
      </w:r>
    </w:p>
    <w:p>
      <w:r>
        <w:t>Festigkeitsnachweis. Verbot des Inverkehrbringens bis zur Umsetzung der Massnahmen (E. 4.9—4.13).</w:t>
      </w:r>
    </w:p>
    <w:p>
      <w:r>
        <w:rPr>
          <w:b/>
        </w:rPr>
        <w:t>E. 4.1</w:t>
      </w:r>
    </w:p>
    <w:p>
      <w:r>
        <w:t>Zunächst ist davon auszugehen, dass die Einleitung eines Kontrollverfahrens seitens der SUVA als solches — entgegen den Einwänden der Beschwerdeführerin im Vorverfahren — rechtmässig erfolgt ist. Die SUVA kann davon ausgehen, dass ein Unfall (hier infolge Touchierens eines Mauervorsprungs und Bruchs des Korbbodens der Arbeitsbühne) als hinweisgebender Anlass ausreicht, um zu überprüfen, ob die Konformitätserklärung den Vorschriften entspricht (vgl. E. 3.15).</w:t>
      </w:r>
    </w:p>
    <w:p>
      <w:r>
        <w:rPr>
          <w:b/>
        </w:rPr>
        <w:t>E. 4.2</w:t>
      </w:r>
    </w:p>
    <w:p>
      <w:r>
        <w:t>Zwischen den Parteien unbestritten ist die Anwendbarkeit der Norm SN EN 280 (vgl. E. 3.8), welche die statischen und dynamischen Berechnungen beschreibt und hinsichtlich des Festigkeitsnachweises betreffend die eingesetzten Werkstoffe beispielhaft auf das Berechnungsverfahren in der Norm EN 13001-3-1:2012 betreffend Stahlbauteile für Krane verweist (zur Empfehlung im Leitfaden MRL betreffend die Auslegung von Verweisungsnormen vgl. E. 3.7).</w:t>
      </w:r>
    </w:p>
    <w:p>
      <w:r>
        <w:rPr>
          <w:b/>
        </w:rPr>
        <w:t>E. 4.3</w:t>
      </w:r>
    </w:p>
    <w:p>
      <w:r>
        <w:t>Zunächst ist zu prüfen, ob die von der Beschwerdeführerin eingereichten Unterlagen belegen, dass die Hubarbeitsbühne Typ Z., 20.2 HV, Seriennummer Y., Baujahr 2014, nach der Typ-C-Norm SN EN 280 hergestellt wurde und damit die der Norm vorliegend unbestritten anhaftende Konformitätsvermutung greift, wonach die grundlegenden Sicherheits- und Gesundheitsanforderungen erfüllt sind. Die Vorinstanz bestreitet, dass das Produkt den Anforderungen der Norm SN EN 280 entspricht. Die Beschwerdeführerin wendet hiergegen im Wesentlichen ein, alle Anforderungen seien erfüllt und alle notwendigen Tests durchgeführt worden, die vorgelegte Baumusterprüfbescheinigung sei zu akzeptieren.</w:t>
      </w:r>
    </w:p>
    <w:p>
      <w:r>
        <w:rPr>
          <w:b/>
        </w:rPr>
        <w:t>E. 4.4</w:t>
      </w:r>
    </w:p>
    <w:p>
      <w:r>
        <w:t>Wie weiter oben dargelegt, wird zunächst der Nachweis der Erfüllung der grundlegenden Anforderungen beziehungsweise der die Konformitätsvermutung auslösenden technischen Normen für Hubarbeitsbühnen in einem eigens geregelten Konformitätsbewertungsverfahren erbracht. Die Beschwerdeführerin weist zu Recht darauf hin, dass die Konformitätserklärungen der Hersteller, mit denen die Übereinstimmung von Maschinen mit dem EU-Recht bescheinigt wird, anzuerkennen sind. Dennoch können die Schweizer Behörden überprüfen, ob die für das Inverkehrbringen eines in der EU im Verkehr befindlichen Produkts erforderliche Konformitätserklärung zu Recht erfolgt ist (vgl. BGE 143 II 518 E. 9.4 m.w.H.; E. 3.15). Werden die technischen Unterlagen auf begründetes Verlangen nicht vorgelegt, so kann dies ein Grund sein, um die Übereinstimmung der Maschine mit den Anforderungen zu bezweifeln (vgl. E. 3.5). In dem Fall kommt es zu keiner Beweislastumkehr (s. auch Anhang VII Ziff. 3 MRL; E. 3.11).</w:t>
      </w:r>
    </w:p>
    <w:p>
      <w:r>
        <w:rPr>
          <w:b/>
        </w:rPr>
        <w:t>E. 4.5</w:t>
      </w:r>
    </w:p>
    <w:p>
      <w:r>
        <w:t>Den Akten lässt sich Folgendes entnehmen:</w:t>
      </w:r>
    </w:p>
    <w:p>
      <w:r>
        <w:rPr>
          <w:b/>
        </w:rPr>
        <w:t>E. 4.5.1</w:t>
      </w:r>
    </w:p>
    <w:p>
      <w:r>
        <w:t>Die italienische Herstellerfirma hat eine Baumusterprüfung von verschiedenen Prototypen durch das Institut ICE durchführen lassen. In der CE-Konformitätserklärung betreffend die streitgegenständliche Maschine vom 30. Juni 2014 bestätigte die Herstellerin sodann, die Hebebühne entspreche der Richtlinie 2006/42/EG, sie sei konform mit der harmonisierten Norm EN 280:2001+A2; die Maschine entspreche dem Prototyp, der die CE-Zertifizierung des folgenden Typs erhalten habe: Nr. M.0303.13.5703 Rev. 1 vom 14. Mai 2014, ausgestellt vom Institut ICE.</w:t>
      </w:r>
    </w:p>
    <w:p>
      <w:r>
        <w:rPr>
          <w:b/>
        </w:rPr>
        <w:t>E. 4.5.2</w:t>
      </w:r>
    </w:p>
    <w:p>
      <w:r>
        <w:t>Auf entsprechende Aufforderung der SUVA hin reichte die Beschwerdeführerin die Baumusterprüfbescheinigung eines Prototyps samt Anhängen ein. Sie besteht aus einem Zertifikat Nr. M.0303.03.5703 vom 28. Juni 2013 für das Modell (...) 20.2 HV mit einer maximalen Nutzlast von 300 kg (mit zwei Personen) und enthält zwei technische Anhänge. Der erste Anhang vom 28. Juni 2013 trägt die Nr. M.0303.13.5703 Rev. 0 (Z., 20.2 HV) und präzisiert, es gebe zwei Sorten von Arbeitskörben (" Cestelli "), nämlich erstens den Korb " Standard: alluminio 1400x700x1100 mm (Pmax=300 kg; Prid=120 kg) "; und zweitens den Korb " (...) 20.2 HV VTR: vetroresina (&lt; Glasfaser &gt;) 1400x700x1100 mm (Pmax=250 kg; Prid=120 kg) "; dies betreffe zwei Lastwagentypen. Der zweite Anhang vom 14. Mai 2014 mit der Nr. M.0303.13.5703 Rev. 1 (Z., 20.2 HV) enthält die gleichlautenden Präzisierungen für die Arbeitskörbe und betrifft den Lastwagen (...), der vorliegend von der Beschwerdeführerin eingesetzt wurde.</w:t>
      </w:r>
    </w:p>
    <w:p>
      <w:r>
        <w:rPr>
          <w:b/>
        </w:rPr>
        <w:t>E. 4.5.3</w:t>
      </w:r>
    </w:p>
    <w:p>
      <w:r>
        <w:t>Zur Frage der Festigkeit des Bodens des Arbeitskorbs liegen folgende Berechnungen vor:</w:t>
      </w:r>
    </w:p>
    <w:p>
      <w:r>
        <w:rPr>
          <w:b/>
        </w:rPr>
        <w:t>E. 4.5.3.1</w:t>
      </w:r>
    </w:p>
    <w:p>
      <w:r>
        <w:t>Im Vorverfahren gelangte ein Schreiben der Herstellerin vom 22. September 2015 samt Berechnungen des Widerstands und der Tragfähigkeit des Korbbodens zu den Akten. Diese seien mit einer vierfachen Punktlast durchgeführt worden, womit ein ausreichender Sicherheitsfaktor gegeben sei. Die Herstellerin gab an, für die Berechnungen die Finite-Element-Methode (FEM) verwendet zu haben. Es sei festgestellt worden, dass der Korb einem Sicherheitsfaktor von über vier standhalte, die Kurvung des Korbs sei 14 mm, was für das Material und Punktgewicht definitiv akzeptabel sei. Diesem Ergebnis wurde eine Sforzi-Von-Mises-Scala beigefügt, welche im obersten Bereich 55.5 MPa aufweist.</w:t>
      </w:r>
    </w:p>
    <w:p>
      <w:r>
        <w:rPr>
          <w:b/>
        </w:rPr>
        <w:t>E. 4.5.3.2</w:t>
      </w:r>
    </w:p>
    <w:p>
      <w:r>
        <w:t>Mit der Beschwerdeschrift wurde ein Bericht des Instituts ICE über einen Resistenz-Test des Korbbodens vorgelegt. Darin werden drei Lastentests mit vertikaler Kraft " von oben " und ein Lastentest " von unten " mit vertikaler Kraft nach oben beschrieben. Mit zunehmender Krafteinwirkung seien Verformungen und Nervaturen festzustellen, die bei P=905 daN zu einer Neigung des Arbeitskorbs und bei P=1 195 daN den Anfang einer Bruchstelle des Drehzentrums erkennen liessen. Mit P=1 220 daN erfolge der Bruch beim Drehzentrum. Der Korb bleibe jedoch weiterhin fest am Arm verankert. Das Institut ICE bestätigte, dass der Korb dem Bediener im Falle von externer Krafteinwirkung bis zu 1 200 daN Sicherheit garantiere.</w:t>
      </w:r>
    </w:p>
    <w:p>
      <w:r>
        <w:rPr>
          <w:b/>
        </w:rPr>
        <w:t>E. 4.5.3.3</w:t>
      </w:r>
    </w:p>
    <w:p>
      <w:r>
        <w:t>Replikweise reichte die Beschwerdeführerin einen Bericht der Empa vom 27. Juli 2017 ein mit dem Ergebnis, die errechneten Spannungs- und Verformungsverteilungen seien qualitativ gut vergleichbar mit jenen der Herstellerin. Hingegen seien die Spannungen in der vorliegenden Simulation (der Empa) mehr als doppelt so hoch und die Deformationen mehr als 1.5 (1.57) mal so hoch wie jene Werte in der Berechnung der Herstellerin. Das Ergebnis des Bruchversuchs stimme mit der Simulation (der Empa) gut überein. Wirke die Belastung in umgekehrter Richtung, das heisst von unten nach oben, wie im Schadenfall, so würden deutlich höhere Spannungen im Bauteil auftreten, dies zeige sich anhand von acht Lastfällen mit einer statischen Punktlast von 4 905 N (500 kg). Hinsichtlich des statischen Festigkeitsnachweises der Herstellerin führte die Empa im Weiteren aus, die FEM-Simulation zeige die gleiche Spannungsverteilung. Hingegen seien die (von der Herstellerin) angegebenen Spannungswerte deutlich tiefer. Es sei nicht nachvollziehbar, wie für eine Belastung von 500 kg von-Mises-Spannungen von lediglich 55 MPa oder weniger im Bauteil auftreten könnten. Die Simulation der Empa ergebe von-Mises-Spannungen von bis zu 136 MPa. Auch die Deformation von 14 mm scheine bei der Herstellerin deutlich geringer auszufallen als in der Simulation der Empa. In der Diskussion der Prüfergebnisse ([...]) wurde ausgeführt, die Lastannahme von 500 kg von oben könne als Nennlast von zwei Personen (2 x 80 kg) mit Material (90 kg) = 250 kg und einem Sicherheitsfaktor von 2 verstanden werden. Die FEM-Simulation zeige, dass der Sicherheitsfaktor von 2 für die Lastfälle " von oben " eingehalten werde. Für die Lastfälle " von unten " jedoch werde dieser Sicherheitsfaktor unterschritten. Schliesslich gelte die hier durchgeführte Berechnung nur für statische Lasten. Es seien damit keine Aussagen möglich, falls der Korbboden durch dynamische oder stossartig auftretende Kräfte belastet werde. FEM-Simulationen für solche Lastfälle seien komplex, da die auftretenden Kraftspitzen von verschiedenen Parametern wie der Kran-Konfiguration, der Geschwindigkeit des Stossvorgangs, der Härte der Materialien, die in Kontakt kommen, der Verteilung der Massen im bewegten Teil und so weiter abhängen würden.</w:t>
      </w:r>
    </w:p>
    <w:p>
      <w:r>
        <w:rPr>
          <w:b/>
        </w:rPr>
        <w:t>E. 4.5.4</w:t>
      </w:r>
    </w:p>
    <w:p>
      <w:r>
        <w:t>Bei dieser Sachlage ist davon auszugehen, dass die Baumusterprüfung auf der Grundlage von ungenügenden technischen Unterlagen durchgeführt wurde. Basierend auf den Berechnungen der Herstellerin, welche im Lichte der Ergebnisse des Empa-Berichts nicht korrekt sind (fehlerhafte Anwendung der Berechnungsmethode), kann nicht von einem ausreichenden Festigkeitsnachweis für den Fahrerkorb ausgegangen werden. Im Weiteren ist der SUVA beizupflichten, dass die entsprechend dem Werkstoff erforderlichen dynamischen Berechnungen nicht vorgelegt wurden (vgl. E. 3.8). Bereits</w:t>
      </w:r>
    </w:p>
    <w:p>
      <w:r>
        <w:rPr>
          <w:b/>
        </w:rPr>
        <w:t>E. 5</w:t>
      </w:r>
    </w:p>
    <w:p>
      <w:r>
        <w:t>Misure per limitare il rischio oggettivo. Esame della proporzionalità (consid. 5). Die X. AG bezweckt unter anderem den Handel und die Vermietung von hydraulischen Hebebühnen und ähnlichen Geräten. Am 30. Oktober 2015 stellte die Schweizerische Unfallversicherungsanstalt (SUVA, nachfolgend auch: Vorinstanz) im Rahmen einer Unfallabklärung bezüglich der Hubarbeitsbühne vom Typ Z., 20.2 HV, Seriennummer Y., Baujahr 2014, fest, dass der Arbeitskorb, in dem sich zwei Personen befanden, abgebrochen sei, als die Arbeitsbühne beim Hinunterfahren einen Mauervorsprung touchiert habe. Am 15. März 2016 leitete die SUVA ein Produktkontrollverfahren im Rahmen der Marktüberwachung gemäss dem Bundesgesetz vom 12. Juni 2009 über die Produktesicherheit (PrSG, SR 930.11) ein. Am 3. Juni 2016 reichte die X. AG mehrere Dokumente ein, darunter eine Erklärung, dass die Herstellung des Arbeitskorbs konform mit der technischen Norm EN 280:2001+A2 erfolgt sei (Konformitätserklärung). Mit Verfügung vom 26. September 2016 verpflichtete die SUVA die X. AG unter Auflage von Gebühren bis zum 31. Dezember 2016 einen den gesetzlichen Anforderungen entsprechenden Festigkeitsnachweis für den Fahrerkorb der erwähnten Hubarbeitsbühne zu erstellen, die daraus erforderlichen Massnahmen zu definieren und die erfolgte Umsetzung der SUVA zu melden, die Hubarbeitsbühne bis zum 31. Dezember 2016 nachzubessern und die erfolgte Umsetzung der SUVA zu melden, und verbot ihr das weitere Inverkehrbringen von Hubarbeitsbühnen Z., 20.2 HV, solange diese nicht den Anforderungen entsprechen würden. Gegen diese Verfügung erhob die X. AG (nachfolgend: Beschwerdeführerin) am 7. Oktober 2016 Beschwerde beim Bundesverwaltungsgericht und beantragte, die angefochtene Verfügung sei vollumfänglich aufzuheben, eventualiter sei die Sache zur Neubeurteilung an die Vorinstanz zurückzuweisen. Gleichzeitig reichte sie weitere Unterlagen ein, darunter den Resistenztest Korbboden aus Verbundmaterial des Europäischen Instituts für Zertifizierungen (nachfolgend: Institut ICE) vom 27. Juli 2016. Mit Vernehmlassung vom 27. März 2017 führte die SUVA aus, die Festigkeitsberechnungen erfüllten die normativen Anforderungen nicht, weshalb der Konformitätsnachweis als nicht erbracht gelte. Die Beschwerdeführerin replizierte darauf, die verfügten Massnahmen und insbesondere die Verpflichtung zum Festigkeitsnachweis seien zu Unrecht erfolgt, da die Konformitätsvermutung greife. Insbesondere weise die Hubarbeitsbühne keinen Mangel in der Festigkeit auf. Sie legte unter anderem einen bei der Eidgenössischen Materialprüfungs- und Forschungsanstalt (Empa) in Auftrag gegebenen Bericht vom 27. Juli 2017 über die " FE-Simulation betreffend den Z.-Korbboden in Verbundmaterial " vor. Das Bundesverwaltungsgericht heisst die Beschwerde teilweise gut. Es bestätigt die von der SUVA verfügten Massnahmen nur für jene Hubarbeitsbühnen vom Typ Z., 20.2 HV, Seriennummer Y., Baujahr 2014, die einen Arbeitskorb aus Verbundmaterial aufweisen. Aus den Erwägungen: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